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EA" w:rsidRPr="000114A3" w:rsidRDefault="001331A2" w:rsidP="000114A3">
      <w:pPr>
        <w:jc w:val="center"/>
        <w:rPr>
          <w:rFonts w:ascii="华文中宋" w:eastAsia="华文中宋" w:hAnsi="华文中宋"/>
          <w:sz w:val="44"/>
          <w:szCs w:val="44"/>
        </w:rPr>
      </w:pPr>
      <w:bookmarkStart w:id="0" w:name="_GoBack"/>
      <w:bookmarkEnd w:id="0"/>
      <w:r w:rsidRPr="00961AEA">
        <w:rPr>
          <w:rFonts w:ascii="华文中宋" w:eastAsia="华文中宋" w:hAnsi="华文中宋" w:hint="eastAsia"/>
          <w:sz w:val="44"/>
          <w:szCs w:val="44"/>
        </w:rPr>
        <w:t>中股</w:t>
      </w:r>
      <w:r w:rsidRPr="00961AEA">
        <w:rPr>
          <w:rFonts w:ascii="华文中宋" w:eastAsia="华文中宋" w:hAnsi="华文中宋"/>
          <w:sz w:val="44"/>
          <w:szCs w:val="44"/>
        </w:rPr>
        <w:t>集团</w:t>
      </w:r>
      <w:r w:rsidR="003514CF">
        <w:rPr>
          <w:rFonts w:ascii="华文中宋" w:eastAsia="华文中宋" w:hAnsi="华文中宋" w:hint="eastAsia"/>
          <w:sz w:val="44"/>
          <w:szCs w:val="44"/>
        </w:rPr>
        <w:t>2016</w:t>
      </w:r>
      <w:r w:rsidR="000114A3">
        <w:rPr>
          <w:rFonts w:ascii="华文中宋" w:eastAsia="华文中宋" w:hAnsi="华文中宋" w:hint="eastAsia"/>
          <w:sz w:val="44"/>
          <w:szCs w:val="44"/>
        </w:rPr>
        <w:t>届</w:t>
      </w:r>
      <w:r w:rsidR="003514CF">
        <w:rPr>
          <w:rFonts w:ascii="华文中宋" w:eastAsia="华文中宋" w:hAnsi="华文中宋" w:hint="eastAsia"/>
          <w:sz w:val="44"/>
          <w:szCs w:val="44"/>
        </w:rPr>
        <w:t>校园</w:t>
      </w:r>
      <w:r w:rsidRPr="00961AEA">
        <w:rPr>
          <w:rFonts w:ascii="华文中宋" w:eastAsia="华文中宋" w:hAnsi="华文中宋"/>
          <w:sz w:val="44"/>
          <w:szCs w:val="44"/>
        </w:rPr>
        <w:t>招聘</w:t>
      </w:r>
      <w:r w:rsidR="00961AEA" w:rsidRPr="00961AEA">
        <w:rPr>
          <w:rFonts w:ascii="华文中宋" w:eastAsia="华文中宋" w:hAnsi="华文中宋" w:hint="eastAsia"/>
          <w:sz w:val="44"/>
          <w:szCs w:val="44"/>
        </w:rPr>
        <w:t>公告</w:t>
      </w:r>
    </w:p>
    <w:p w:rsidR="00573AEC" w:rsidRDefault="00573AEC" w:rsidP="00573AEC">
      <w:pPr>
        <w:ind w:firstLineChars="200" w:firstLine="643"/>
        <w:rPr>
          <w:rFonts w:ascii="黑体" w:eastAsia="黑体" w:hAnsi="黑体"/>
          <w:b/>
          <w:sz w:val="32"/>
          <w:szCs w:val="32"/>
        </w:rPr>
      </w:pPr>
      <w:r w:rsidRPr="00573AEC">
        <w:rPr>
          <w:rFonts w:ascii="黑体" w:eastAsia="黑体" w:hAnsi="黑体" w:hint="eastAsia"/>
          <w:b/>
          <w:sz w:val="32"/>
          <w:szCs w:val="32"/>
        </w:rPr>
        <w:t>中关村股权交易服务集团有限公司（原北京股权交易中心有限公司，以下简称“中股集团”）是北京市国资委下属一级企业，北京地区唯一的区域性股权交易市场，待遇优厚、成长空间广阔、录用后可解决北京市户口。</w:t>
      </w:r>
    </w:p>
    <w:p w:rsidR="00573AEC" w:rsidRDefault="000114A3" w:rsidP="000114A3">
      <w:pPr>
        <w:rPr>
          <w:rFonts w:ascii="仿宋_GB2312" w:eastAsia="仿宋_GB2312" w:hAnsi="仿宋"/>
          <w:sz w:val="32"/>
          <w:szCs w:val="32"/>
        </w:rPr>
      </w:pPr>
      <w:r>
        <w:rPr>
          <w:rFonts w:ascii="仿宋_GB2312" w:eastAsia="仿宋_GB2312" w:hAnsi="仿宋" w:hint="eastAsia"/>
          <w:sz w:val="32"/>
          <w:szCs w:val="32"/>
        </w:rPr>
        <w:t xml:space="preserve">    </w:t>
      </w:r>
    </w:p>
    <w:p w:rsidR="00573AEC" w:rsidRDefault="003D12EB" w:rsidP="00573AEC">
      <w:pPr>
        <w:ind w:firstLineChars="200" w:firstLine="640"/>
        <w:rPr>
          <w:rFonts w:ascii="仿宋_GB2312" w:eastAsia="仿宋_GB2312" w:hAnsi="仿宋"/>
          <w:sz w:val="32"/>
          <w:szCs w:val="32"/>
        </w:rPr>
      </w:pPr>
      <w:r>
        <w:rPr>
          <w:rFonts w:ascii="仿宋_GB2312" w:eastAsia="仿宋_GB2312" w:hAnsi="仿宋" w:hint="eastAsia"/>
          <w:sz w:val="32"/>
          <w:szCs w:val="32"/>
        </w:rPr>
        <w:t>中</w:t>
      </w:r>
      <w:r w:rsidR="00573AEC">
        <w:rPr>
          <w:rFonts w:ascii="仿宋_GB2312" w:eastAsia="仿宋_GB2312" w:hAnsi="仿宋" w:hint="eastAsia"/>
          <w:sz w:val="32"/>
          <w:szCs w:val="32"/>
        </w:rPr>
        <w:t>股集团是由北京市人民政府批准设立的专门为北京市企业特别是中小微企业提供融资服务，化解“中小企业融资难</w:t>
      </w:r>
      <w:r w:rsidR="002A40D2">
        <w:rPr>
          <w:rFonts w:ascii="仿宋_GB2312" w:eastAsia="仿宋_GB2312" w:hAnsi="仿宋" w:hint="eastAsia"/>
          <w:sz w:val="32"/>
          <w:szCs w:val="32"/>
        </w:rPr>
        <w:t>、</w:t>
      </w:r>
      <w:r w:rsidR="00573AEC">
        <w:rPr>
          <w:rFonts w:ascii="仿宋_GB2312" w:eastAsia="仿宋_GB2312" w:hAnsi="仿宋" w:hint="eastAsia"/>
          <w:sz w:val="32"/>
          <w:szCs w:val="32"/>
        </w:rPr>
        <w:t>社会资金投资难”的两难困境的区域性股权交易市场，于2013年12月底正式运行。</w:t>
      </w:r>
    </w:p>
    <w:p w:rsidR="00573AEC" w:rsidRDefault="00573AEC" w:rsidP="00573AEC">
      <w:pPr>
        <w:ind w:firstLineChars="200" w:firstLine="640"/>
        <w:rPr>
          <w:rFonts w:ascii="仿宋_GB2312" w:eastAsia="仿宋_GB2312" w:hAnsi="仿宋"/>
          <w:sz w:val="32"/>
          <w:szCs w:val="32"/>
        </w:rPr>
      </w:pPr>
      <w:r>
        <w:rPr>
          <w:rFonts w:ascii="仿宋_GB2312" w:eastAsia="仿宋_GB2312" w:hAnsi="仿宋" w:hint="eastAsia"/>
          <w:sz w:val="32"/>
          <w:szCs w:val="32"/>
        </w:rPr>
        <w:t>中股集团由市国资委按照一级企业（正局级）进行管理，市金融局负责业务监管，中国证监会及北京证监局依据有关规定提供业务指导和服务。中股集团是北京市属国企内第一家混合所有制企业，主要股东包括北京市国资委、深交所、北京产权交易所、中信建投证券、银河证券、首创证券、中关村发展集团、海淀区国管中心等。</w:t>
      </w:r>
    </w:p>
    <w:p w:rsidR="00573AEC" w:rsidRDefault="00573AEC" w:rsidP="00573AEC">
      <w:pPr>
        <w:ind w:firstLine="645"/>
        <w:rPr>
          <w:rFonts w:ascii="仿宋_GB2312" w:eastAsia="仿宋_GB2312" w:hAnsi="仿宋"/>
          <w:sz w:val="32"/>
          <w:szCs w:val="32"/>
        </w:rPr>
      </w:pPr>
      <w:r>
        <w:rPr>
          <w:rFonts w:ascii="仿宋_GB2312" w:eastAsia="仿宋_GB2312" w:hAnsi="仿宋" w:hint="eastAsia"/>
          <w:sz w:val="32"/>
          <w:szCs w:val="32"/>
        </w:rPr>
        <w:t>中股集团下设3个子公司，其中</w:t>
      </w:r>
      <w:r>
        <w:rPr>
          <w:rFonts w:ascii="仿宋_GB2312" w:eastAsia="仿宋_GB2312" w:hAnsi="仿宋"/>
          <w:sz w:val="32"/>
          <w:szCs w:val="32"/>
        </w:rPr>
        <w:t>北京股权交易中心</w:t>
      </w:r>
      <w:r>
        <w:rPr>
          <w:rFonts w:ascii="仿宋_GB2312" w:eastAsia="仿宋_GB2312" w:hAnsi="仿宋" w:hint="eastAsia"/>
          <w:sz w:val="32"/>
          <w:szCs w:val="32"/>
        </w:rPr>
        <w:t>有限公司作为权益交易平台，提供</w:t>
      </w:r>
      <w:r>
        <w:rPr>
          <w:rFonts w:ascii="仿宋_GB2312" w:eastAsia="仿宋_GB2312" w:hAnsi="仿宋"/>
          <w:sz w:val="32"/>
          <w:szCs w:val="32"/>
        </w:rPr>
        <w:t>各种私募</w:t>
      </w:r>
      <w:r>
        <w:rPr>
          <w:rFonts w:ascii="仿宋_GB2312" w:eastAsia="仿宋_GB2312" w:hAnsi="仿宋" w:hint="eastAsia"/>
          <w:sz w:val="32"/>
          <w:szCs w:val="32"/>
        </w:rPr>
        <w:t>股权</w:t>
      </w:r>
      <w:r>
        <w:rPr>
          <w:rFonts w:ascii="仿宋_GB2312" w:eastAsia="仿宋_GB2312" w:hAnsi="仿宋"/>
          <w:sz w:val="32"/>
          <w:szCs w:val="32"/>
        </w:rPr>
        <w:t>、</w:t>
      </w:r>
      <w:r>
        <w:rPr>
          <w:rFonts w:ascii="仿宋_GB2312" w:eastAsia="仿宋_GB2312" w:hAnsi="仿宋" w:hint="eastAsia"/>
          <w:sz w:val="32"/>
          <w:szCs w:val="32"/>
        </w:rPr>
        <w:t>债权</w:t>
      </w:r>
      <w:r>
        <w:rPr>
          <w:rFonts w:ascii="仿宋_GB2312" w:eastAsia="仿宋_GB2312" w:hAnsi="仿宋"/>
          <w:sz w:val="32"/>
          <w:szCs w:val="32"/>
        </w:rPr>
        <w:t>及其他金融权益类产品的发行和交易</w:t>
      </w:r>
      <w:r>
        <w:rPr>
          <w:rFonts w:ascii="仿宋_GB2312" w:eastAsia="仿宋_GB2312" w:hAnsi="仿宋" w:hint="eastAsia"/>
          <w:sz w:val="32"/>
          <w:szCs w:val="32"/>
        </w:rPr>
        <w:t>服务；</w:t>
      </w:r>
      <w:r>
        <w:rPr>
          <w:rFonts w:ascii="仿宋_GB2312" w:eastAsia="仿宋_GB2312" w:hAnsi="仿宋"/>
          <w:sz w:val="32"/>
          <w:szCs w:val="32"/>
        </w:rPr>
        <w:t>北京股权登记管理中心</w:t>
      </w:r>
      <w:r>
        <w:rPr>
          <w:rFonts w:ascii="仿宋_GB2312" w:eastAsia="仿宋_GB2312" w:hAnsi="仿宋" w:hint="eastAsia"/>
          <w:sz w:val="32"/>
          <w:szCs w:val="32"/>
        </w:rPr>
        <w:t>有限公司作为登记托管平台，提供</w:t>
      </w:r>
      <w:r>
        <w:rPr>
          <w:rFonts w:ascii="仿宋_GB2312" w:eastAsia="仿宋_GB2312" w:hAnsi="仿宋"/>
          <w:sz w:val="32"/>
          <w:szCs w:val="32"/>
        </w:rPr>
        <w:t>各种私募</w:t>
      </w:r>
      <w:r>
        <w:rPr>
          <w:rFonts w:ascii="仿宋_GB2312" w:eastAsia="仿宋_GB2312" w:hAnsi="仿宋" w:hint="eastAsia"/>
          <w:sz w:val="32"/>
          <w:szCs w:val="32"/>
        </w:rPr>
        <w:t>股权</w:t>
      </w:r>
      <w:r>
        <w:rPr>
          <w:rFonts w:ascii="仿宋_GB2312" w:eastAsia="仿宋_GB2312" w:hAnsi="仿宋"/>
          <w:sz w:val="32"/>
          <w:szCs w:val="32"/>
        </w:rPr>
        <w:t>、</w:t>
      </w:r>
      <w:r>
        <w:rPr>
          <w:rFonts w:ascii="仿宋_GB2312" w:eastAsia="仿宋_GB2312" w:hAnsi="仿宋" w:hint="eastAsia"/>
          <w:sz w:val="32"/>
          <w:szCs w:val="32"/>
        </w:rPr>
        <w:t>债权</w:t>
      </w:r>
      <w:r>
        <w:rPr>
          <w:rFonts w:ascii="仿宋_GB2312" w:eastAsia="仿宋_GB2312" w:hAnsi="仿宋"/>
          <w:sz w:val="32"/>
          <w:szCs w:val="32"/>
        </w:rPr>
        <w:t>及其他金融权益类产品的</w:t>
      </w:r>
      <w:r>
        <w:rPr>
          <w:rFonts w:ascii="仿宋_GB2312" w:eastAsia="仿宋_GB2312" w:hAnsi="仿宋" w:hint="eastAsia"/>
          <w:sz w:val="32"/>
          <w:szCs w:val="32"/>
        </w:rPr>
        <w:t>独立第三方</w:t>
      </w:r>
      <w:r>
        <w:rPr>
          <w:rFonts w:ascii="仿宋_GB2312" w:eastAsia="仿宋_GB2312" w:hAnsi="仿宋"/>
          <w:sz w:val="32"/>
          <w:szCs w:val="32"/>
        </w:rPr>
        <w:t>登记</w:t>
      </w:r>
      <w:r>
        <w:rPr>
          <w:rFonts w:ascii="仿宋_GB2312" w:eastAsia="仿宋_GB2312" w:hAnsi="仿宋" w:hint="eastAsia"/>
          <w:sz w:val="32"/>
          <w:szCs w:val="32"/>
        </w:rPr>
        <w:t>托管服务</w:t>
      </w:r>
      <w:r>
        <w:rPr>
          <w:rFonts w:ascii="仿宋_GB2312" w:eastAsia="仿宋_GB2312" w:hAnsi="仿宋"/>
          <w:sz w:val="32"/>
          <w:szCs w:val="32"/>
        </w:rPr>
        <w:t>；</w:t>
      </w:r>
      <w:r>
        <w:rPr>
          <w:rFonts w:ascii="仿宋_GB2312" w:eastAsia="仿宋_GB2312" w:hAnsi="仿宋" w:hint="eastAsia"/>
          <w:sz w:val="32"/>
          <w:szCs w:val="32"/>
        </w:rPr>
        <w:t>北京</w:t>
      </w:r>
      <w:r>
        <w:rPr>
          <w:rFonts w:ascii="仿宋_GB2312" w:eastAsia="仿宋_GB2312" w:hAnsi="仿宋"/>
          <w:sz w:val="32"/>
          <w:szCs w:val="32"/>
        </w:rPr>
        <w:t>京股投资管理有限公司</w:t>
      </w:r>
      <w:r>
        <w:rPr>
          <w:rFonts w:ascii="仿宋_GB2312" w:eastAsia="仿宋_GB2312" w:hAnsi="仿宋" w:hint="eastAsia"/>
          <w:sz w:val="32"/>
          <w:szCs w:val="32"/>
        </w:rPr>
        <w:t>作为投融资平台，负责</w:t>
      </w:r>
      <w:r>
        <w:rPr>
          <w:rFonts w:ascii="仿宋_GB2312" w:eastAsia="仿宋_GB2312" w:hAnsi="仿宋"/>
          <w:sz w:val="32"/>
          <w:szCs w:val="32"/>
        </w:rPr>
        <w:t>对外投资和资金统筹管</w:t>
      </w:r>
      <w:r>
        <w:rPr>
          <w:rFonts w:ascii="仿宋_GB2312" w:eastAsia="仿宋_GB2312" w:hAnsi="仿宋"/>
          <w:sz w:val="32"/>
          <w:szCs w:val="32"/>
        </w:rPr>
        <w:lastRenderedPageBreak/>
        <w:t>理</w:t>
      </w:r>
      <w:r>
        <w:rPr>
          <w:rFonts w:ascii="仿宋_GB2312" w:eastAsia="仿宋_GB2312" w:hAnsi="仿宋" w:hint="eastAsia"/>
          <w:sz w:val="32"/>
          <w:szCs w:val="32"/>
        </w:rPr>
        <w:t>。</w:t>
      </w:r>
    </w:p>
    <w:p w:rsidR="00573AEC" w:rsidRDefault="00573AEC" w:rsidP="00573AEC">
      <w:pPr>
        <w:ind w:firstLine="645"/>
        <w:rPr>
          <w:rFonts w:ascii="仿宋_GB2312" w:eastAsia="仿宋_GB2312" w:hAnsi="仿宋"/>
          <w:sz w:val="32"/>
          <w:szCs w:val="32"/>
        </w:rPr>
      </w:pPr>
      <w:r>
        <w:rPr>
          <w:rFonts w:ascii="仿宋_GB2312" w:eastAsia="仿宋_GB2312" w:hAnsi="仿宋" w:hint="eastAsia"/>
          <w:sz w:val="32"/>
          <w:szCs w:val="32"/>
        </w:rPr>
        <w:t>中股集团愿景是成为全国最有影响力的区域性股权市场，倡导的是“五湖四海”的用人理念，弘扬的是“有为才能有位”的核心价值观，坚持的是“有梦想、有创新、有实干、有坚持、有担当”的创业精神。</w:t>
      </w:r>
    </w:p>
    <w:p w:rsidR="00573AEC" w:rsidRDefault="00573AEC" w:rsidP="00573AEC">
      <w:pPr>
        <w:ind w:firstLine="645"/>
        <w:rPr>
          <w:rFonts w:ascii="仿宋_GB2312" w:eastAsia="仿宋_GB2312" w:hAnsi="仿宋"/>
          <w:sz w:val="32"/>
          <w:szCs w:val="32"/>
        </w:rPr>
      </w:pPr>
      <w:r>
        <w:rPr>
          <w:rFonts w:ascii="仿宋_GB2312" w:eastAsia="仿宋_GB2312" w:hAnsi="仿宋" w:hint="eastAsia"/>
          <w:sz w:val="32"/>
          <w:szCs w:val="32"/>
        </w:rPr>
        <w:t>我们期待优秀的你的加盟，如果你有足够信心的话！</w:t>
      </w:r>
    </w:p>
    <w:p w:rsidR="00573AEC" w:rsidRDefault="00573AEC" w:rsidP="00573AEC">
      <w:pPr>
        <w:ind w:firstLine="645"/>
        <w:rPr>
          <w:rFonts w:ascii="仿宋_GB2312" w:eastAsia="仿宋_GB2312" w:hAnsi="仿宋"/>
          <w:sz w:val="32"/>
          <w:szCs w:val="32"/>
        </w:rPr>
      </w:pPr>
    </w:p>
    <w:p w:rsidR="00573AEC" w:rsidRDefault="00573AEC" w:rsidP="00573AEC">
      <w:pPr>
        <w:ind w:firstLine="645"/>
        <w:rPr>
          <w:rFonts w:ascii="仿宋_GB2312" w:eastAsia="仿宋_GB2312" w:hAnsi="仿宋"/>
          <w:sz w:val="32"/>
          <w:szCs w:val="32"/>
        </w:rPr>
      </w:pPr>
      <w:r>
        <w:rPr>
          <w:rFonts w:ascii="Calibri" w:eastAsia="宋体" w:hAnsi="Calibri"/>
          <w:noProof/>
          <w:sz w:val="28"/>
          <w:szCs w:val="28"/>
        </w:rPr>
        <w:drawing>
          <wp:anchor distT="0" distB="0" distL="114300" distR="114300" simplePos="0" relativeHeight="251659264" behindDoc="0" locked="0" layoutInCell="1" allowOverlap="1">
            <wp:simplePos x="0" y="0"/>
            <wp:positionH relativeFrom="margin">
              <wp:posOffset>2465705</wp:posOffset>
            </wp:positionH>
            <wp:positionV relativeFrom="paragraph">
              <wp:posOffset>1935480</wp:posOffset>
            </wp:positionV>
            <wp:extent cx="942975" cy="942975"/>
            <wp:effectExtent l="0" t="0" r="952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 w:hint="eastAsia"/>
          <w:sz w:val="32"/>
          <w:szCs w:val="32"/>
        </w:rPr>
        <w:t>2016届招聘，集团将提供</w:t>
      </w:r>
      <w:r w:rsidRPr="004C501C">
        <w:rPr>
          <w:rFonts w:ascii="仿宋_GB2312" w:eastAsia="仿宋_GB2312" w:hAnsi="仿宋" w:hint="eastAsia"/>
          <w:b/>
          <w:bCs/>
          <w:sz w:val="32"/>
          <w:szCs w:val="32"/>
        </w:rPr>
        <w:t>“财务管理类、金融业务类、战略研究类、法律事务类、开发测试类、行政助理类”</w:t>
      </w:r>
      <w:r>
        <w:rPr>
          <w:rFonts w:ascii="仿宋_GB2312" w:eastAsia="仿宋_GB2312" w:hAnsi="仿宋" w:hint="eastAsia"/>
          <w:sz w:val="32"/>
          <w:szCs w:val="32"/>
        </w:rPr>
        <w:t>六大类岗位。投递简历及邮件主题以“校招+投递职类+学校+专业+姓名+性别”的形式命名，发送邮件至：hr@bjotc.cn ，更多细节请关注集团招聘官方微信。</w:t>
      </w:r>
    </w:p>
    <w:p w:rsidR="00573AEC" w:rsidRDefault="00573AEC" w:rsidP="00573AEC">
      <w:pPr>
        <w:rPr>
          <w:rFonts w:ascii="仿宋_GB2312" w:eastAsia="仿宋_GB2312" w:hAnsi="仿宋"/>
          <w:sz w:val="32"/>
          <w:szCs w:val="32"/>
        </w:rPr>
      </w:pPr>
      <w:r>
        <w:rPr>
          <w:rFonts w:ascii="仿宋_GB2312" w:eastAsia="仿宋_GB2312" w:hAnsi="仿宋" w:hint="eastAsia"/>
          <w:sz w:val="32"/>
          <w:szCs w:val="32"/>
        </w:rPr>
        <w:t>公司</w:t>
      </w:r>
      <w:r>
        <w:rPr>
          <w:rFonts w:ascii="仿宋_GB2312" w:eastAsia="仿宋_GB2312" w:hAnsi="仿宋"/>
          <w:sz w:val="32"/>
          <w:szCs w:val="32"/>
        </w:rPr>
        <w:t>地址</w:t>
      </w:r>
      <w:r>
        <w:rPr>
          <w:rFonts w:ascii="仿宋_GB2312" w:eastAsia="仿宋_GB2312" w:hAnsi="仿宋" w:hint="eastAsia"/>
          <w:sz w:val="32"/>
          <w:szCs w:val="32"/>
        </w:rPr>
        <w:t>：</w:t>
      </w:r>
    </w:p>
    <w:p w:rsidR="00573AEC" w:rsidRDefault="00573AEC" w:rsidP="00573AEC">
      <w:pPr>
        <w:rPr>
          <w:rFonts w:ascii="仿宋_GB2312" w:eastAsia="仿宋_GB2312" w:hAnsi="仿宋"/>
          <w:sz w:val="32"/>
          <w:szCs w:val="32"/>
        </w:rPr>
      </w:pPr>
      <w:r>
        <w:rPr>
          <w:rFonts w:ascii="仿宋_GB2312" w:eastAsia="仿宋_GB2312" w:hAnsi="仿宋" w:hint="eastAsia"/>
          <w:sz w:val="32"/>
          <w:szCs w:val="32"/>
        </w:rPr>
        <w:t>海淀区新建宫门路2号</w:t>
      </w:r>
    </w:p>
    <w:p w:rsidR="00573AEC" w:rsidRDefault="00573AEC" w:rsidP="00573AEC">
      <w:pPr>
        <w:rPr>
          <w:rFonts w:ascii="仿宋_GB2312" w:eastAsia="仿宋_GB2312" w:hAnsi="仿宋"/>
          <w:sz w:val="32"/>
          <w:szCs w:val="32"/>
        </w:rPr>
      </w:pPr>
      <w:r>
        <w:rPr>
          <w:rFonts w:ascii="仿宋_GB2312" w:eastAsia="仿宋_GB2312" w:hAnsi="仿宋" w:hint="eastAsia"/>
          <w:sz w:val="32"/>
          <w:szCs w:val="32"/>
        </w:rPr>
        <w:t>中关村国家自主创新示范区展示中心会议中心一层</w:t>
      </w:r>
    </w:p>
    <w:p w:rsidR="00573AEC" w:rsidRDefault="00573AEC" w:rsidP="00573AEC">
      <w:pPr>
        <w:rPr>
          <w:rFonts w:ascii="仿宋_GB2312" w:eastAsia="仿宋_GB2312" w:hAnsi="仿宋"/>
          <w:sz w:val="32"/>
          <w:szCs w:val="32"/>
        </w:rPr>
      </w:pPr>
    </w:p>
    <w:p w:rsidR="00573AEC" w:rsidRDefault="00573AEC" w:rsidP="00573AEC">
      <w:pPr>
        <w:rPr>
          <w:rFonts w:ascii="仿宋_GB2312" w:eastAsia="仿宋_GB2312" w:hAnsi="仿宋"/>
          <w:sz w:val="32"/>
          <w:szCs w:val="32"/>
        </w:rPr>
      </w:pPr>
      <w:r>
        <w:rPr>
          <w:rFonts w:ascii="仿宋_GB2312" w:eastAsia="仿宋_GB2312" w:hAnsi="仿宋" w:hint="eastAsia"/>
          <w:sz w:val="32"/>
          <w:szCs w:val="32"/>
        </w:rPr>
        <w:t>联系人：</w:t>
      </w:r>
    </w:p>
    <w:p w:rsidR="00961AEA" w:rsidRPr="0078571B" w:rsidRDefault="00573AEC" w:rsidP="00573AEC">
      <w:pPr>
        <w:pStyle w:val="a3"/>
        <w:ind w:left="360" w:firstLineChars="450" w:firstLine="1440"/>
        <w:rPr>
          <w:sz w:val="28"/>
          <w:szCs w:val="28"/>
        </w:rPr>
      </w:pPr>
      <w:r>
        <w:rPr>
          <w:rFonts w:ascii="仿宋_GB2312" w:eastAsia="仿宋_GB2312" w:hAnsi="仿宋" w:hint="eastAsia"/>
          <w:sz w:val="32"/>
          <w:szCs w:val="32"/>
        </w:rPr>
        <w:t>高  旭  59207262</w:t>
      </w:r>
      <w:r w:rsidR="00961AEA">
        <w:rPr>
          <w:sz w:val="28"/>
          <w:szCs w:val="28"/>
        </w:rPr>
        <w:t xml:space="preserve">                </w:t>
      </w:r>
      <w:r w:rsidR="00961AEA" w:rsidRPr="00243861">
        <w:rPr>
          <w:sz w:val="28"/>
          <w:szCs w:val="28"/>
        </w:rPr>
        <w:t xml:space="preserve"> </w:t>
      </w:r>
    </w:p>
    <w:p w:rsidR="00DD4407" w:rsidRDefault="00DD4407" w:rsidP="001331A2">
      <w:pPr>
        <w:rPr>
          <w:rFonts w:ascii="黑体" w:eastAsia="黑体" w:hAnsi="黑体"/>
          <w:sz w:val="32"/>
          <w:szCs w:val="32"/>
        </w:rPr>
        <w:sectPr w:rsidR="00DD4407">
          <w:headerReference w:type="even" r:id="rId10"/>
          <w:headerReference w:type="default" r:id="rId11"/>
          <w:pgSz w:w="11906" w:h="16838"/>
          <w:pgMar w:top="1440" w:right="1800" w:bottom="1440" w:left="1800" w:header="851" w:footer="992" w:gutter="0"/>
          <w:cols w:space="425"/>
          <w:docGrid w:type="lines" w:linePitch="312"/>
        </w:sectPr>
      </w:pPr>
    </w:p>
    <w:p w:rsidR="006F36B7" w:rsidRDefault="00DD4407" w:rsidP="000114A3">
      <w:pPr>
        <w:jc w:val="center"/>
        <w:rPr>
          <w:rFonts w:ascii="黑体" w:eastAsia="黑体" w:hAnsi="黑体"/>
          <w:sz w:val="32"/>
          <w:szCs w:val="32"/>
        </w:rPr>
      </w:pPr>
      <w:r>
        <w:rPr>
          <w:rFonts w:ascii="黑体" w:eastAsia="黑体" w:hAnsi="黑体"/>
          <w:sz w:val="32"/>
          <w:szCs w:val="32"/>
        </w:rPr>
        <w:lastRenderedPageBreak/>
        <w:t>招聘岗位</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12758"/>
      </w:tblGrid>
      <w:tr w:rsidR="006A363D" w:rsidRPr="003514CF" w:rsidTr="006E04E5">
        <w:trPr>
          <w:trHeight w:val="320"/>
        </w:trPr>
        <w:tc>
          <w:tcPr>
            <w:tcW w:w="1418" w:type="dxa"/>
            <w:tcMar>
              <w:top w:w="0" w:type="dxa"/>
              <w:left w:w="105" w:type="dxa"/>
              <w:bottom w:w="0" w:type="dxa"/>
              <w:right w:w="105" w:type="dxa"/>
            </w:tcMar>
            <w:vAlign w:val="center"/>
            <w:hideMark/>
          </w:tcPr>
          <w:p w:rsidR="006A363D" w:rsidRPr="0061453B" w:rsidRDefault="006A363D" w:rsidP="006E04E5">
            <w:pPr>
              <w:widowControl/>
              <w:jc w:val="center"/>
              <w:rPr>
                <w:rFonts w:ascii="Arial" w:eastAsia="宋体" w:hAnsi="Arial" w:cs="Arial"/>
                <w:b/>
                <w:color w:val="000000"/>
                <w:kern w:val="0"/>
                <w:sz w:val="24"/>
                <w:szCs w:val="24"/>
              </w:rPr>
            </w:pPr>
            <w:r w:rsidRPr="0061453B">
              <w:rPr>
                <w:rFonts w:ascii="黑体" w:eastAsia="黑体" w:hAnsi="黑体" w:cs="Arial" w:hint="eastAsia"/>
                <w:b/>
                <w:color w:val="000000"/>
                <w:kern w:val="0"/>
                <w:sz w:val="24"/>
                <w:szCs w:val="24"/>
              </w:rPr>
              <w:t>岗位类别</w:t>
            </w:r>
          </w:p>
        </w:tc>
        <w:tc>
          <w:tcPr>
            <w:tcW w:w="12758" w:type="dxa"/>
            <w:tcMar>
              <w:top w:w="0" w:type="dxa"/>
              <w:left w:w="105" w:type="dxa"/>
              <w:bottom w:w="0" w:type="dxa"/>
              <w:right w:w="105" w:type="dxa"/>
            </w:tcMar>
            <w:vAlign w:val="center"/>
            <w:hideMark/>
          </w:tcPr>
          <w:p w:rsidR="006A363D" w:rsidRPr="0061453B" w:rsidRDefault="006A363D" w:rsidP="006E04E5">
            <w:pPr>
              <w:widowControl/>
              <w:jc w:val="center"/>
              <w:rPr>
                <w:rFonts w:ascii="Arial" w:eastAsia="宋体" w:hAnsi="Arial" w:cs="Arial"/>
                <w:b/>
                <w:color w:val="000000"/>
                <w:kern w:val="0"/>
                <w:sz w:val="24"/>
                <w:szCs w:val="24"/>
              </w:rPr>
            </w:pPr>
            <w:r w:rsidRPr="0061453B">
              <w:rPr>
                <w:rFonts w:ascii="黑体" w:eastAsia="黑体" w:hAnsi="黑体" w:cs="Arial" w:hint="eastAsia"/>
                <w:b/>
                <w:color w:val="000000"/>
                <w:kern w:val="0"/>
                <w:sz w:val="24"/>
                <w:szCs w:val="24"/>
              </w:rPr>
              <w:t>任职资格</w:t>
            </w:r>
          </w:p>
        </w:tc>
      </w:tr>
      <w:tr w:rsidR="006A363D" w:rsidRPr="003514CF" w:rsidTr="006E04E5">
        <w:trPr>
          <w:trHeight w:val="320"/>
        </w:trPr>
        <w:tc>
          <w:tcPr>
            <w:tcW w:w="1418" w:type="dxa"/>
            <w:tcMar>
              <w:top w:w="0" w:type="dxa"/>
              <w:left w:w="105" w:type="dxa"/>
              <w:bottom w:w="0" w:type="dxa"/>
              <w:right w:w="105" w:type="dxa"/>
            </w:tcMar>
            <w:vAlign w:val="center"/>
          </w:tcPr>
          <w:p w:rsidR="006A363D" w:rsidRPr="003514CF" w:rsidRDefault="006A363D" w:rsidP="006E04E5">
            <w:pPr>
              <w:widowControl/>
              <w:jc w:val="center"/>
              <w:rPr>
                <w:rFonts w:ascii="Arial" w:eastAsia="宋体" w:hAnsi="Arial" w:cs="Arial"/>
                <w:color w:val="000000"/>
                <w:kern w:val="0"/>
                <w:sz w:val="24"/>
                <w:szCs w:val="24"/>
              </w:rPr>
            </w:pPr>
            <w:r w:rsidRPr="003514CF">
              <w:rPr>
                <w:rFonts w:ascii="黑体" w:eastAsia="黑体" w:hAnsi="黑体" w:cs="Arial" w:hint="eastAsia"/>
                <w:color w:val="000000"/>
                <w:kern w:val="0"/>
                <w:sz w:val="24"/>
                <w:szCs w:val="24"/>
              </w:rPr>
              <w:t>财务管理</w:t>
            </w:r>
            <w:r>
              <w:rPr>
                <w:rFonts w:ascii="黑体" w:eastAsia="黑体" w:hAnsi="黑体" w:cs="Arial" w:hint="eastAsia"/>
                <w:color w:val="000000"/>
                <w:kern w:val="0"/>
                <w:sz w:val="24"/>
                <w:szCs w:val="24"/>
              </w:rPr>
              <w:t>类</w:t>
            </w:r>
          </w:p>
        </w:tc>
        <w:tc>
          <w:tcPr>
            <w:tcW w:w="12758" w:type="dxa"/>
            <w:tcMar>
              <w:top w:w="0" w:type="dxa"/>
              <w:left w:w="105" w:type="dxa"/>
              <w:bottom w:w="0" w:type="dxa"/>
              <w:right w:w="105" w:type="dxa"/>
            </w:tcMar>
            <w:vAlign w:val="center"/>
          </w:tcPr>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1、硕士及以上学历，财务相关专业，2016年应届毕业；</w:t>
            </w:r>
          </w:p>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2、熟悉企业会计、审计相关制度，熟悉相关法律法规知识；具备</w:t>
            </w:r>
            <w:r>
              <w:rPr>
                <w:rFonts w:ascii="黑体" w:eastAsia="黑体" w:hAnsi="黑体" w:cs="Arial" w:hint="eastAsia"/>
                <w:color w:val="000000"/>
                <w:kern w:val="0"/>
                <w:sz w:val="24"/>
                <w:szCs w:val="24"/>
              </w:rPr>
              <w:t>优秀的数据分析</w:t>
            </w:r>
            <w:r w:rsidRPr="009023A0">
              <w:rPr>
                <w:rFonts w:ascii="黑体" w:eastAsia="黑体" w:hAnsi="黑体" w:cs="Arial" w:hint="eastAsia"/>
                <w:color w:val="000000"/>
                <w:kern w:val="0"/>
                <w:sz w:val="24"/>
                <w:szCs w:val="24"/>
              </w:rPr>
              <w:t>、良好的文案策划和语言表达能力</w:t>
            </w:r>
            <w:r>
              <w:rPr>
                <w:rFonts w:ascii="黑体" w:eastAsia="黑体" w:hAnsi="黑体" w:cs="Arial" w:hint="eastAsia"/>
                <w:color w:val="000000"/>
                <w:kern w:val="0"/>
                <w:sz w:val="24"/>
                <w:szCs w:val="24"/>
              </w:rPr>
              <w:t>；</w:t>
            </w:r>
          </w:p>
          <w:p w:rsidR="006A363D" w:rsidRPr="00790C73"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3、有金融企业实习经历或会计师事务所实习经历者优先。</w:t>
            </w:r>
          </w:p>
        </w:tc>
      </w:tr>
      <w:tr w:rsidR="006A363D" w:rsidRPr="003514CF" w:rsidTr="006E04E5">
        <w:trPr>
          <w:trHeight w:val="320"/>
        </w:trPr>
        <w:tc>
          <w:tcPr>
            <w:tcW w:w="1418" w:type="dxa"/>
            <w:tcMar>
              <w:top w:w="0" w:type="dxa"/>
              <w:left w:w="105" w:type="dxa"/>
              <w:bottom w:w="0" w:type="dxa"/>
              <w:right w:w="105" w:type="dxa"/>
            </w:tcMar>
            <w:vAlign w:val="center"/>
            <w:hideMark/>
          </w:tcPr>
          <w:p w:rsidR="006A363D" w:rsidRPr="003514CF" w:rsidRDefault="006A363D" w:rsidP="006E04E5">
            <w:pPr>
              <w:widowControl/>
              <w:jc w:val="center"/>
              <w:rPr>
                <w:rFonts w:ascii="Arial" w:eastAsia="宋体" w:hAnsi="Arial" w:cs="Arial"/>
                <w:color w:val="000000"/>
                <w:kern w:val="0"/>
                <w:sz w:val="24"/>
                <w:szCs w:val="24"/>
              </w:rPr>
            </w:pPr>
            <w:r>
              <w:rPr>
                <w:rFonts w:ascii="黑体" w:eastAsia="黑体" w:hAnsi="黑体" w:cs="Arial" w:hint="eastAsia"/>
                <w:color w:val="000000"/>
                <w:kern w:val="0"/>
                <w:sz w:val="24"/>
                <w:szCs w:val="24"/>
              </w:rPr>
              <w:t>金融业务</w:t>
            </w:r>
            <w:r>
              <w:rPr>
                <w:rFonts w:ascii="黑体" w:eastAsia="黑体" w:hAnsi="黑体" w:cs="Arial"/>
                <w:color w:val="000000"/>
                <w:kern w:val="0"/>
                <w:sz w:val="24"/>
                <w:szCs w:val="24"/>
              </w:rPr>
              <w:t>类</w:t>
            </w:r>
          </w:p>
        </w:tc>
        <w:tc>
          <w:tcPr>
            <w:tcW w:w="12758" w:type="dxa"/>
            <w:tcMar>
              <w:top w:w="0" w:type="dxa"/>
              <w:left w:w="105" w:type="dxa"/>
              <w:bottom w:w="0" w:type="dxa"/>
              <w:right w:w="105" w:type="dxa"/>
            </w:tcMar>
            <w:vAlign w:val="center"/>
            <w:hideMark/>
          </w:tcPr>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1、硕士及以上学历，金融、经济、投资管理、财务管理相关专业</w:t>
            </w:r>
            <w:r>
              <w:rPr>
                <w:rFonts w:ascii="黑体" w:eastAsia="黑体" w:hAnsi="黑体" w:cs="Arial" w:hint="eastAsia"/>
                <w:color w:val="000000"/>
                <w:kern w:val="0"/>
                <w:sz w:val="24"/>
                <w:szCs w:val="24"/>
              </w:rPr>
              <w:t>，</w:t>
            </w:r>
            <w:r w:rsidRPr="009023A0">
              <w:rPr>
                <w:rFonts w:ascii="黑体" w:eastAsia="黑体" w:hAnsi="黑体" w:cs="Arial" w:hint="eastAsia"/>
                <w:color w:val="000000"/>
                <w:kern w:val="0"/>
                <w:sz w:val="24"/>
                <w:szCs w:val="24"/>
              </w:rPr>
              <w:t>2016年应届毕业；</w:t>
            </w:r>
          </w:p>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2、具备财经专业知识、金融市场分析与资料搜集、金融商品企划分析、金融产品风险评估、银行内部控制法规与制度等方面知识；</w:t>
            </w:r>
          </w:p>
          <w:p w:rsidR="006A363D" w:rsidRPr="003514CF" w:rsidRDefault="006A363D" w:rsidP="006E04E5">
            <w:pPr>
              <w:widowControl/>
              <w:jc w:val="left"/>
              <w:rPr>
                <w:rFonts w:ascii="Arial" w:eastAsia="宋体" w:hAnsi="Arial" w:cs="Arial"/>
                <w:color w:val="000000"/>
                <w:kern w:val="0"/>
                <w:sz w:val="24"/>
                <w:szCs w:val="24"/>
              </w:rPr>
            </w:pPr>
            <w:r>
              <w:rPr>
                <w:rFonts w:ascii="黑体" w:eastAsia="黑体" w:hAnsi="黑体" w:cs="Arial"/>
                <w:color w:val="000000"/>
                <w:kern w:val="0"/>
                <w:sz w:val="24"/>
                <w:szCs w:val="24"/>
              </w:rPr>
              <w:t>3</w:t>
            </w:r>
            <w:r w:rsidRPr="009023A0">
              <w:rPr>
                <w:rFonts w:ascii="黑体" w:eastAsia="黑体" w:hAnsi="黑体" w:cs="Arial" w:hint="eastAsia"/>
                <w:color w:val="000000"/>
                <w:kern w:val="0"/>
                <w:sz w:val="24"/>
                <w:szCs w:val="24"/>
              </w:rPr>
              <w:t>、具备优秀的数据分析、文案策划、沟通协调、风险防控及执行能力。</w:t>
            </w:r>
          </w:p>
        </w:tc>
      </w:tr>
      <w:tr w:rsidR="006A363D" w:rsidRPr="003514CF" w:rsidTr="006E04E5">
        <w:trPr>
          <w:trHeight w:val="320"/>
        </w:trPr>
        <w:tc>
          <w:tcPr>
            <w:tcW w:w="1418" w:type="dxa"/>
            <w:tcMar>
              <w:top w:w="0" w:type="dxa"/>
              <w:left w:w="105" w:type="dxa"/>
              <w:bottom w:w="0" w:type="dxa"/>
              <w:right w:w="105" w:type="dxa"/>
            </w:tcMar>
            <w:vAlign w:val="center"/>
            <w:hideMark/>
          </w:tcPr>
          <w:p w:rsidR="006A363D" w:rsidRPr="003514CF" w:rsidRDefault="006A363D" w:rsidP="006E04E5">
            <w:pPr>
              <w:widowControl/>
              <w:jc w:val="center"/>
              <w:rPr>
                <w:rFonts w:ascii="Arial" w:eastAsia="宋体" w:hAnsi="Arial" w:cs="Arial"/>
                <w:color w:val="000000"/>
                <w:kern w:val="0"/>
                <w:sz w:val="24"/>
                <w:szCs w:val="24"/>
              </w:rPr>
            </w:pPr>
            <w:r>
              <w:rPr>
                <w:rFonts w:ascii="黑体" w:eastAsia="黑体" w:hAnsi="黑体" w:cs="Arial" w:hint="eastAsia"/>
                <w:color w:val="000000"/>
                <w:kern w:val="0"/>
                <w:sz w:val="24"/>
                <w:szCs w:val="24"/>
              </w:rPr>
              <w:t>战略研究类</w:t>
            </w:r>
          </w:p>
        </w:tc>
        <w:tc>
          <w:tcPr>
            <w:tcW w:w="12758" w:type="dxa"/>
            <w:vAlign w:val="center"/>
            <w:hideMark/>
          </w:tcPr>
          <w:p w:rsidR="006A363D" w:rsidRPr="009023A0" w:rsidRDefault="006A363D" w:rsidP="006E04E5">
            <w:pPr>
              <w:widowControl/>
              <w:ind w:firstLineChars="50" w:firstLine="120"/>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1、硕士及以上学历，博士学历者优先，金融、经济、企业管理等相关专业，2016年</w:t>
            </w:r>
            <w:r>
              <w:rPr>
                <w:rFonts w:ascii="黑体" w:eastAsia="黑体" w:hAnsi="黑体" w:cs="Arial" w:hint="eastAsia"/>
                <w:color w:val="000000"/>
                <w:kern w:val="0"/>
                <w:sz w:val="24"/>
                <w:szCs w:val="24"/>
              </w:rPr>
              <w:t>应届</w:t>
            </w:r>
            <w:r w:rsidRPr="009023A0">
              <w:rPr>
                <w:rFonts w:ascii="黑体" w:eastAsia="黑体" w:hAnsi="黑体" w:cs="Arial" w:hint="eastAsia"/>
                <w:color w:val="000000"/>
                <w:kern w:val="0"/>
                <w:sz w:val="24"/>
                <w:szCs w:val="24"/>
              </w:rPr>
              <w:t>毕业；</w:t>
            </w:r>
          </w:p>
          <w:p w:rsidR="006A363D" w:rsidRPr="009023A0" w:rsidRDefault="006A363D" w:rsidP="006E04E5">
            <w:pPr>
              <w:widowControl/>
              <w:ind w:firstLineChars="50" w:firstLine="120"/>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2、熟悉各类金融业务，对金融企业发展研究感兴趣；</w:t>
            </w:r>
          </w:p>
          <w:p w:rsidR="006A363D" w:rsidRPr="00790C73" w:rsidRDefault="006A363D" w:rsidP="006E04E5">
            <w:pPr>
              <w:widowControl/>
              <w:ind w:leftChars="50" w:left="105"/>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3、具备敏锐的宏观环境分析判断能力，语言表达能力强、能够把握事情的本质，文字功底好，对综合性研报驾驭能强，发表金融方面文章及著作者优先；有金融行业顶尖公司实习经历者优先。</w:t>
            </w:r>
          </w:p>
        </w:tc>
      </w:tr>
      <w:tr w:rsidR="006A363D" w:rsidRPr="003514CF" w:rsidTr="006E04E5">
        <w:trPr>
          <w:trHeight w:val="320"/>
        </w:trPr>
        <w:tc>
          <w:tcPr>
            <w:tcW w:w="1418" w:type="dxa"/>
            <w:tcMar>
              <w:top w:w="0" w:type="dxa"/>
              <w:left w:w="105" w:type="dxa"/>
              <w:bottom w:w="0" w:type="dxa"/>
              <w:right w:w="105" w:type="dxa"/>
            </w:tcMar>
            <w:vAlign w:val="center"/>
            <w:hideMark/>
          </w:tcPr>
          <w:p w:rsidR="006A363D" w:rsidRPr="003514CF" w:rsidRDefault="006A363D" w:rsidP="006E04E5">
            <w:pPr>
              <w:widowControl/>
              <w:jc w:val="center"/>
              <w:rPr>
                <w:rFonts w:ascii="Arial" w:eastAsia="宋体" w:hAnsi="Arial" w:cs="Arial"/>
                <w:color w:val="000000"/>
                <w:kern w:val="0"/>
                <w:sz w:val="24"/>
                <w:szCs w:val="24"/>
              </w:rPr>
            </w:pPr>
            <w:r w:rsidRPr="003514CF">
              <w:rPr>
                <w:rFonts w:ascii="黑体" w:eastAsia="黑体" w:hAnsi="黑体" w:cs="Arial" w:hint="eastAsia"/>
                <w:color w:val="000000"/>
                <w:kern w:val="0"/>
                <w:sz w:val="24"/>
                <w:szCs w:val="24"/>
              </w:rPr>
              <w:t>法律</w:t>
            </w:r>
            <w:r>
              <w:rPr>
                <w:rFonts w:ascii="黑体" w:eastAsia="黑体" w:hAnsi="黑体" w:cs="Arial" w:hint="eastAsia"/>
                <w:color w:val="000000"/>
                <w:kern w:val="0"/>
                <w:sz w:val="24"/>
                <w:szCs w:val="24"/>
              </w:rPr>
              <w:t>事务类</w:t>
            </w:r>
          </w:p>
        </w:tc>
        <w:tc>
          <w:tcPr>
            <w:tcW w:w="12758" w:type="dxa"/>
            <w:tcMar>
              <w:top w:w="0" w:type="dxa"/>
              <w:left w:w="105" w:type="dxa"/>
              <w:bottom w:w="0" w:type="dxa"/>
              <w:right w:w="105" w:type="dxa"/>
            </w:tcMar>
            <w:vAlign w:val="center"/>
            <w:hideMark/>
          </w:tcPr>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1、硕士以上学历,</w:t>
            </w:r>
            <w:r w:rsidR="00A41938" w:rsidRPr="009023A0">
              <w:rPr>
                <w:rFonts w:ascii="黑体" w:eastAsia="黑体" w:hAnsi="黑体" w:cs="Arial" w:hint="eastAsia"/>
                <w:color w:val="000000"/>
                <w:kern w:val="0"/>
                <w:sz w:val="24"/>
                <w:szCs w:val="24"/>
              </w:rPr>
              <w:t xml:space="preserve"> 法律相关专业</w:t>
            </w:r>
            <w:r w:rsidR="00A41938">
              <w:rPr>
                <w:rFonts w:ascii="黑体" w:eastAsia="黑体" w:hAnsi="黑体" w:cs="Arial" w:hint="eastAsia"/>
                <w:color w:val="000000"/>
                <w:kern w:val="0"/>
                <w:sz w:val="24"/>
                <w:szCs w:val="24"/>
              </w:rPr>
              <w:t>，</w:t>
            </w:r>
            <w:r w:rsidRPr="009023A0">
              <w:rPr>
                <w:rFonts w:ascii="黑体" w:eastAsia="黑体" w:hAnsi="黑体" w:cs="Arial" w:hint="eastAsia"/>
                <w:color w:val="000000"/>
                <w:kern w:val="0"/>
                <w:sz w:val="24"/>
                <w:szCs w:val="24"/>
              </w:rPr>
              <w:t>2016</w:t>
            </w:r>
            <w:r w:rsidR="00A41938">
              <w:rPr>
                <w:rFonts w:ascii="黑体" w:eastAsia="黑体" w:hAnsi="黑体" w:cs="Arial" w:hint="eastAsia"/>
                <w:color w:val="000000"/>
                <w:kern w:val="0"/>
                <w:sz w:val="24"/>
                <w:szCs w:val="24"/>
              </w:rPr>
              <w:t>年应届毕业</w:t>
            </w:r>
            <w:r w:rsidRPr="009023A0">
              <w:rPr>
                <w:rFonts w:ascii="黑体" w:eastAsia="黑体" w:hAnsi="黑体" w:cs="Arial" w:hint="eastAsia"/>
                <w:color w:val="000000"/>
                <w:kern w:val="0"/>
                <w:sz w:val="24"/>
                <w:szCs w:val="24"/>
              </w:rPr>
              <w:t>；</w:t>
            </w:r>
          </w:p>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2</w:t>
            </w:r>
            <w:r w:rsidR="00A41938">
              <w:rPr>
                <w:rFonts w:ascii="黑体" w:eastAsia="黑体" w:hAnsi="黑体" w:cs="Arial" w:hint="eastAsia"/>
                <w:color w:val="000000"/>
                <w:kern w:val="0"/>
                <w:sz w:val="24"/>
                <w:szCs w:val="24"/>
              </w:rPr>
              <w:t>、熟悉相关法律法规知识；了解登记托管风险防控制度；</w:t>
            </w:r>
          </w:p>
          <w:p w:rsidR="006A363D" w:rsidRPr="009023A0" w:rsidRDefault="006A363D" w:rsidP="006E04E5">
            <w:pPr>
              <w:widowControl/>
              <w:jc w:val="left"/>
              <w:rPr>
                <w:rFonts w:ascii="Arial" w:eastAsia="宋体" w:hAnsi="Arial" w:cs="Arial"/>
                <w:color w:val="000000"/>
                <w:kern w:val="0"/>
                <w:sz w:val="24"/>
                <w:szCs w:val="24"/>
              </w:rPr>
            </w:pPr>
            <w:r w:rsidRPr="009023A0">
              <w:rPr>
                <w:rFonts w:ascii="黑体" w:eastAsia="黑体" w:hAnsi="黑体" w:cs="Arial" w:hint="eastAsia"/>
                <w:color w:val="000000"/>
                <w:kern w:val="0"/>
                <w:sz w:val="24"/>
                <w:szCs w:val="24"/>
              </w:rPr>
              <w:t>3、具备优秀的数据分析能力、良好的文案策划和语言表达能力。</w:t>
            </w:r>
          </w:p>
        </w:tc>
      </w:tr>
      <w:tr w:rsidR="006A363D" w:rsidRPr="003514CF" w:rsidTr="006E04E5">
        <w:trPr>
          <w:trHeight w:val="320"/>
        </w:trPr>
        <w:tc>
          <w:tcPr>
            <w:tcW w:w="1418" w:type="dxa"/>
            <w:tcMar>
              <w:top w:w="0" w:type="dxa"/>
              <w:left w:w="105" w:type="dxa"/>
              <w:bottom w:w="0" w:type="dxa"/>
              <w:right w:w="105" w:type="dxa"/>
            </w:tcMar>
            <w:vAlign w:val="center"/>
            <w:hideMark/>
          </w:tcPr>
          <w:p w:rsidR="006A363D" w:rsidRPr="003514CF" w:rsidRDefault="006A363D" w:rsidP="006E04E5">
            <w:pPr>
              <w:widowControl/>
              <w:jc w:val="center"/>
              <w:rPr>
                <w:rFonts w:ascii="Arial" w:eastAsia="宋体" w:hAnsi="Arial" w:cs="Arial"/>
                <w:color w:val="000000"/>
                <w:kern w:val="0"/>
                <w:sz w:val="24"/>
                <w:szCs w:val="24"/>
              </w:rPr>
            </w:pPr>
            <w:r>
              <w:rPr>
                <w:rFonts w:ascii="黑体" w:eastAsia="黑体" w:hAnsi="黑体" w:cs="Arial" w:hint="eastAsia"/>
                <w:color w:val="000000"/>
                <w:kern w:val="0"/>
                <w:sz w:val="24"/>
                <w:szCs w:val="24"/>
              </w:rPr>
              <w:t>开发测试类</w:t>
            </w:r>
          </w:p>
        </w:tc>
        <w:tc>
          <w:tcPr>
            <w:tcW w:w="12758" w:type="dxa"/>
            <w:tcMar>
              <w:top w:w="0" w:type="dxa"/>
              <w:left w:w="105" w:type="dxa"/>
              <w:bottom w:w="0" w:type="dxa"/>
              <w:right w:w="105" w:type="dxa"/>
            </w:tcMar>
            <w:vAlign w:val="center"/>
            <w:hideMark/>
          </w:tcPr>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1、硕士及以上学历，计算机、网络或信息管理等相关专业</w:t>
            </w:r>
            <w:r>
              <w:rPr>
                <w:rFonts w:ascii="黑体" w:eastAsia="黑体" w:hAnsi="黑体" w:cs="Arial" w:hint="eastAsia"/>
                <w:color w:val="000000"/>
                <w:kern w:val="0"/>
                <w:sz w:val="24"/>
                <w:szCs w:val="24"/>
              </w:rPr>
              <w:t>，</w:t>
            </w:r>
            <w:r w:rsidRPr="009023A0">
              <w:rPr>
                <w:rFonts w:ascii="黑体" w:eastAsia="黑体" w:hAnsi="黑体" w:cs="Arial" w:hint="eastAsia"/>
                <w:color w:val="000000"/>
                <w:kern w:val="0"/>
                <w:sz w:val="24"/>
                <w:szCs w:val="24"/>
              </w:rPr>
              <w:t>2016年应届毕业；</w:t>
            </w:r>
          </w:p>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2、</w:t>
            </w:r>
            <w:r>
              <w:rPr>
                <w:rFonts w:ascii="黑体" w:eastAsia="黑体" w:hAnsi="黑体" w:cs="Arial" w:hint="eastAsia"/>
                <w:color w:val="000000"/>
                <w:kern w:val="0"/>
                <w:sz w:val="24"/>
                <w:szCs w:val="24"/>
              </w:rPr>
              <w:t>了解软件工程、系统开发与运行等</w:t>
            </w:r>
            <w:r w:rsidRPr="009023A0">
              <w:rPr>
                <w:rFonts w:ascii="黑体" w:eastAsia="黑体" w:hAnsi="黑体" w:cs="Arial" w:hint="eastAsia"/>
                <w:color w:val="000000"/>
                <w:kern w:val="0"/>
                <w:sz w:val="24"/>
                <w:szCs w:val="24"/>
              </w:rPr>
              <w:t>知识；熟悉至少一门编程语言，掌握数据库基本知识,</w:t>
            </w:r>
            <w:r w:rsidR="00A41938">
              <w:rPr>
                <w:rFonts w:ascii="黑体" w:eastAsia="黑体" w:hAnsi="黑体" w:cs="Arial" w:hint="eastAsia"/>
                <w:color w:val="000000"/>
                <w:kern w:val="0"/>
                <w:sz w:val="24"/>
                <w:szCs w:val="24"/>
              </w:rPr>
              <w:t>有初步项目实践经验；</w:t>
            </w:r>
          </w:p>
          <w:p w:rsidR="006A363D" w:rsidRPr="009023A0" w:rsidRDefault="006A363D" w:rsidP="006E04E5">
            <w:pPr>
              <w:widowControl/>
              <w:jc w:val="left"/>
              <w:rPr>
                <w:rFonts w:ascii="Arial" w:eastAsia="宋体" w:hAnsi="Arial" w:cs="Arial"/>
                <w:color w:val="000000"/>
                <w:kern w:val="0"/>
                <w:sz w:val="24"/>
                <w:szCs w:val="24"/>
              </w:rPr>
            </w:pPr>
            <w:r>
              <w:rPr>
                <w:rFonts w:ascii="黑体" w:eastAsia="黑体" w:hAnsi="黑体" w:cs="Arial"/>
                <w:color w:val="000000"/>
                <w:kern w:val="0"/>
                <w:sz w:val="24"/>
                <w:szCs w:val="24"/>
              </w:rPr>
              <w:t>3</w:t>
            </w:r>
            <w:r w:rsidRPr="009023A0">
              <w:rPr>
                <w:rFonts w:ascii="黑体" w:eastAsia="黑体" w:hAnsi="黑体" w:cs="Arial" w:hint="eastAsia"/>
                <w:color w:val="000000"/>
                <w:kern w:val="0"/>
                <w:sz w:val="24"/>
                <w:szCs w:val="24"/>
              </w:rPr>
              <w:t>、思维清晰敏捷，逻辑分析能力强，具备出色的沟通、协调和组织能力，有高度敬业精神和团队合作精神，具有规范的技术文档写作能力和表达能力。</w:t>
            </w:r>
          </w:p>
        </w:tc>
      </w:tr>
      <w:tr w:rsidR="006A363D" w:rsidRPr="003514CF" w:rsidTr="006E04E5">
        <w:trPr>
          <w:trHeight w:val="320"/>
        </w:trPr>
        <w:tc>
          <w:tcPr>
            <w:tcW w:w="1418" w:type="dxa"/>
            <w:tcMar>
              <w:top w:w="0" w:type="dxa"/>
              <w:left w:w="105" w:type="dxa"/>
              <w:bottom w:w="0" w:type="dxa"/>
              <w:right w:w="105" w:type="dxa"/>
            </w:tcMar>
            <w:vAlign w:val="center"/>
          </w:tcPr>
          <w:p w:rsidR="006A363D" w:rsidRPr="003514CF" w:rsidRDefault="006A363D" w:rsidP="006E04E5">
            <w:pPr>
              <w:widowControl/>
              <w:jc w:val="center"/>
              <w:rPr>
                <w:rFonts w:ascii="Arial" w:eastAsia="宋体" w:hAnsi="Arial" w:cs="Arial"/>
                <w:color w:val="000000"/>
                <w:kern w:val="0"/>
                <w:sz w:val="24"/>
                <w:szCs w:val="24"/>
              </w:rPr>
            </w:pPr>
            <w:r>
              <w:rPr>
                <w:rFonts w:ascii="黑体" w:eastAsia="黑体" w:hAnsi="黑体" w:cs="Arial" w:hint="eastAsia"/>
                <w:color w:val="000000"/>
                <w:kern w:val="0"/>
                <w:sz w:val="24"/>
                <w:szCs w:val="24"/>
              </w:rPr>
              <w:t>行政助理类</w:t>
            </w:r>
          </w:p>
        </w:tc>
        <w:tc>
          <w:tcPr>
            <w:tcW w:w="12758" w:type="dxa"/>
            <w:tcMar>
              <w:top w:w="0" w:type="dxa"/>
              <w:left w:w="105" w:type="dxa"/>
              <w:bottom w:w="0" w:type="dxa"/>
              <w:right w:w="105" w:type="dxa"/>
            </w:tcMar>
            <w:vAlign w:val="center"/>
          </w:tcPr>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1、年龄25周岁以下，女性，形象好，气质佳；</w:t>
            </w:r>
          </w:p>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2、大学本科及以上学历，专业不限，2016年应届毕业；</w:t>
            </w:r>
          </w:p>
          <w:p w:rsidR="006A363D" w:rsidRPr="009023A0" w:rsidRDefault="006A363D" w:rsidP="006E04E5">
            <w:pPr>
              <w:widowControl/>
              <w:jc w:val="left"/>
              <w:rPr>
                <w:rFonts w:ascii="黑体" w:eastAsia="黑体" w:hAnsi="黑体" w:cs="Arial"/>
                <w:color w:val="000000"/>
                <w:kern w:val="0"/>
                <w:sz w:val="24"/>
                <w:szCs w:val="24"/>
              </w:rPr>
            </w:pPr>
            <w:r w:rsidRPr="009023A0">
              <w:rPr>
                <w:rFonts w:ascii="黑体" w:eastAsia="黑体" w:hAnsi="黑体" w:cs="Arial" w:hint="eastAsia"/>
                <w:color w:val="000000"/>
                <w:kern w:val="0"/>
                <w:sz w:val="24"/>
                <w:szCs w:val="24"/>
              </w:rPr>
              <w:t>3、工作热情积极，有责任心，有良好的沟通协调能力；</w:t>
            </w:r>
          </w:p>
          <w:p w:rsidR="006A363D" w:rsidRPr="009023A0" w:rsidRDefault="006A363D" w:rsidP="006E04E5">
            <w:pPr>
              <w:widowControl/>
              <w:jc w:val="left"/>
              <w:rPr>
                <w:rFonts w:ascii="Arial" w:eastAsia="宋体" w:hAnsi="Arial" w:cs="Arial"/>
                <w:color w:val="000000"/>
                <w:kern w:val="0"/>
                <w:sz w:val="24"/>
                <w:szCs w:val="24"/>
              </w:rPr>
            </w:pPr>
            <w:r w:rsidRPr="009023A0">
              <w:rPr>
                <w:rFonts w:ascii="黑体" w:eastAsia="黑体" w:hAnsi="黑体" w:cs="Arial" w:hint="eastAsia"/>
                <w:color w:val="000000"/>
                <w:kern w:val="0"/>
                <w:sz w:val="24"/>
                <w:szCs w:val="24"/>
              </w:rPr>
              <w:t>4、熟练使用各种办公自动化设备及办公软件。</w:t>
            </w:r>
          </w:p>
        </w:tc>
      </w:tr>
      <w:tr w:rsidR="000114A3" w:rsidRPr="003514CF" w:rsidTr="006E04E5">
        <w:trPr>
          <w:trHeight w:val="320"/>
        </w:trPr>
        <w:tc>
          <w:tcPr>
            <w:tcW w:w="1418" w:type="dxa"/>
            <w:tcMar>
              <w:top w:w="0" w:type="dxa"/>
              <w:left w:w="105" w:type="dxa"/>
              <w:bottom w:w="0" w:type="dxa"/>
              <w:right w:w="105" w:type="dxa"/>
            </w:tcMar>
            <w:vAlign w:val="center"/>
          </w:tcPr>
          <w:p w:rsidR="000114A3" w:rsidRDefault="000114A3" w:rsidP="006E04E5">
            <w:pPr>
              <w:widowControl/>
              <w:jc w:val="center"/>
              <w:rPr>
                <w:rFonts w:ascii="黑体" w:eastAsia="黑体" w:hAnsi="黑体" w:cs="Arial"/>
                <w:color w:val="000000"/>
                <w:kern w:val="0"/>
                <w:sz w:val="24"/>
                <w:szCs w:val="24"/>
              </w:rPr>
            </w:pPr>
            <w:r w:rsidRPr="000114A3">
              <w:rPr>
                <w:rFonts w:ascii="楷体" w:eastAsia="楷体" w:hAnsi="楷体" w:hint="eastAsia"/>
                <w:sz w:val="22"/>
                <w:szCs w:val="32"/>
              </w:rPr>
              <w:t>备注</w:t>
            </w:r>
          </w:p>
        </w:tc>
        <w:tc>
          <w:tcPr>
            <w:tcW w:w="12758" w:type="dxa"/>
            <w:tcMar>
              <w:top w:w="0" w:type="dxa"/>
              <w:left w:w="105" w:type="dxa"/>
              <w:bottom w:w="0" w:type="dxa"/>
              <w:right w:w="105" w:type="dxa"/>
            </w:tcMar>
            <w:vAlign w:val="center"/>
          </w:tcPr>
          <w:p w:rsidR="000114A3" w:rsidRPr="000114A3" w:rsidRDefault="000114A3" w:rsidP="000114A3">
            <w:pPr>
              <w:jc w:val="left"/>
              <w:rPr>
                <w:rFonts w:ascii="楷体" w:eastAsia="楷体" w:hAnsi="楷体"/>
                <w:sz w:val="22"/>
                <w:szCs w:val="32"/>
              </w:rPr>
            </w:pPr>
            <w:r w:rsidRPr="008D59BB">
              <w:rPr>
                <w:rFonts w:ascii="楷体" w:eastAsia="楷体" w:hAnsi="楷体" w:hint="eastAsia"/>
                <w:sz w:val="22"/>
                <w:szCs w:val="32"/>
              </w:rPr>
              <w:t>发送简历至hr@bjotc.cn，发送邮件主题和简历以“校招+投递岗类+学校+专业+姓名+性别”的形式命名，</w:t>
            </w:r>
            <w:r w:rsidRPr="000114A3">
              <w:rPr>
                <w:rFonts w:ascii="楷体" w:eastAsia="楷体" w:hAnsi="楷体" w:hint="eastAsia"/>
                <w:b/>
                <w:sz w:val="22"/>
                <w:szCs w:val="32"/>
                <w:highlight w:val="yellow"/>
              </w:rPr>
              <w:t>可解决北京户口</w:t>
            </w:r>
            <w:r w:rsidRPr="008D59BB">
              <w:rPr>
                <w:rFonts w:ascii="楷体" w:eastAsia="楷体" w:hAnsi="楷体" w:hint="eastAsia"/>
                <w:sz w:val="22"/>
                <w:szCs w:val="32"/>
              </w:rPr>
              <w:t>！</w:t>
            </w:r>
          </w:p>
        </w:tc>
      </w:tr>
    </w:tbl>
    <w:p w:rsidR="006A363D" w:rsidRPr="006A363D" w:rsidRDefault="006A363D" w:rsidP="00460D13">
      <w:pPr>
        <w:rPr>
          <w:rFonts w:ascii="黑体" w:eastAsia="黑体" w:hAnsi="黑体"/>
          <w:sz w:val="32"/>
          <w:szCs w:val="32"/>
        </w:rPr>
      </w:pPr>
    </w:p>
    <w:sectPr w:rsidR="006A363D" w:rsidRPr="006A363D" w:rsidSect="00DD4407">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206" w:rsidRDefault="008C7206" w:rsidP="0029358C">
      <w:r>
        <w:separator/>
      </w:r>
    </w:p>
  </w:endnote>
  <w:endnote w:type="continuationSeparator" w:id="0">
    <w:p w:rsidR="008C7206" w:rsidRDefault="008C7206" w:rsidP="0029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206" w:rsidRDefault="008C7206" w:rsidP="0029358C">
      <w:r>
        <w:separator/>
      </w:r>
    </w:p>
  </w:footnote>
  <w:footnote w:type="continuationSeparator" w:id="0">
    <w:p w:rsidR="008C7206" w:rsidRDefault="008C7206" w:rsidP="00293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07" w:rsidRDefault="00DD4407" w:rsidP="00DD4407">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07" w:rsidRDefault="00DD4407" w:rsidP="00DD440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578"/>
    <w:multiLevelType w:val="hybridMultilevel"/>
    <w:tmpl w:val="3B686310"/>
    <w:lvl w:ilvl="0" w:tplc="92984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CA6491"/>
    <w:multiLevelType w:val="hybridMultilevel"/>
    <w:tmpl w:val="9D74DE36"/>
    <w:lvl w:ilvl="0" w:tplc="8004B9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E2005"/>
    <w:multiLevelType w:val="hybridMultilevel"/>
    <w:tmpl w:val="37C046D8"/>
    <w:lvl w:ilvl="0" w:tplc="E654AF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363071"/>
    <w:multiLevelType w:val="hybridMultilevel"/>
    <w:tmpl w:val="DD5A4F22"/>
    <w:lvl w:ilvl="0" w:tplc="7720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D07B6E"/>
    <w:multiLevelType w:val="hybridMultilevel"/>
    <w:tmpl w:val="231E94A6"/>
    <w:lvl w:ilvl="0" w:tplc="BEF8E2B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782C0A"/>
    <w:multiLevelType w:val="hybridMultilevel"/>
    <w:tmpl w:val="B8C60F14"/>
    <w:lvl w:ilvl="0" w:tplc="82C08E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4C3BE9"/>
    <w:multiLevelType w:val="hybridMultilevel"/>
    <w:tmpl w:val="295AC798"/>
    <w:lvl w:ilvl="0" w:tplc="3C3887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A546A5"/>
    <w:multiLevelType w:val="hybridMultilevel"/>
    <w:tmpl w:val="013EE218"/>
    <w:lvl w:ilvl="0" w:tplc="E3886B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5CC"/>
    <w:rsid w:val="000114A3"/>
    <w:rsid w:val="00030D3D"/>
    <w:rsid w:val="00041701"/>
    <w:rsid w:val="000532CB"/>
    <w:rsid w:val="000A0483"/>
    <w:rsid w:val="000A6549"/>
    <w:rsid w:val="000B0878"/>
    <w:rsid w:val="000D053B"/>
    <w:rsid w:val="00114BAF"/>
    <w:rsid w:val="001331A2"/>
    <w:rsid w:val="0013482B"/>
    <w:rsid w:val="001C08A1"/>
    <w:rsid w:val="001D010E"/>
    <w:rsid w:val="00253B42"/>
    <w:rsid w:val="0029358C"/>
    <w:rsid w:val="002A3745"/>
    <w:rsid w:val="002A40D2"/>
    <w:rsid w:val="00326E9B"/>
    <w:rsid w:val="00327376"/>
    <w:rsid w:val="003514CF"/>
    <w:rsid w:val="00363DA0"/>
    <w:rsid w:val="00395AF2"/>
    <w:rsid w:val="003C5C71"/>
    <w:rsid w:val="003D12EB"/>
    <w:rsid w:val="00425054"/>
    <w:rsid w:val="00460D13"/>
    <w:rsid w:val="00492FAC"/>
    <w:rsid w:val="004E79B1"/>
    <w:rsid w:val="004F017B"/>
    <w:rsid w:val="004F06EF"/>
    <w:rsid w:val="004F6C87"/>
    <w:rsid w:val="00573AEC"/>
    <w:rsid w:val="0058244C"/>
    <w:rsid w:val="005B3588"/>
    <w:rsid w:val="00620648"/>
    <w:rsid w:val="006A363D"/>
    <w:rsid w:val="006F36B7"/>
    <w:rsid w:val="00740752"/>
    <w:rsid w:val="007721D9"/>
    <w:rsid w:val="0078571B"/>
    <w:rsid w:val="00797FD5"/>
    <w:rsid w:val="007B444C"/>
    <w:rsid w:val="007E237C"/>
    <w:rsid w:val="0080158C"/>
    <w:rsid w:val="00822396"/>
    <w:rsid w:val="008612C2"/>
    <w:rsid w:val="00863F7B"/>
    <w:rsid w:val="0087121C"/>
    <w:rsid w:val="008C7206"/>
    <w:rsid w:val="008F1D2D"/>
    <w:rsid w:val="008F6B6F"/>
    <w:rsid w:val="00961AEA"/>
    <w:rsid w:val="00983A67"/>
    <w:rsid w:val="009B56DC"/>
    <w:rsid w:val="00A3754A"/>
    <w:rsid w:val="00A41938"/>
    <w:rsid w:val="00A42697"/>
    <w:rsid w:val="00A665B2"/>
    <w:rsid w:val="00A805CC"/>
    <w:rsid w:val="00A85E81"/>
    <w:rsid w:val="00AD0770"/>
    <w:rsid w:val="00AE18BF"/>
    <w:rsid w:val="00AE2CF0"/>
    <w:rsid w:val="00B01BAD"/>
    <w:rsid w:val="00B27038"/>
    <w:rsid w:val="00B416E4"/>
    <w:rsid w:val="00CB5E3D"/>
    <w:rsid w:val="00DD4407"/>
    <w:rsid w:val="00E22D33"/>
    <w:rsid w:val="00E52FCD"/>
    <w:rsid w:val="00E65095"/>
    <w:rsid w:val="00E81A9D"/>
    <w:rsid w:val="00ED0F3B"/>
    <w:rsid w:val="00F13A16"/>
    <w:rsid w:val="00F818E2"/>
    <w:rsid w:val="00FC6FE2"/>
    <w:rsid w:val="00FD6049"/>
    <w:rsid w:val="00FE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5CC"/>
    <w:pPr>
      <w:ind w:firstLineChars="200" w:firstLine="420"/>
    </w:pPr>
  </w:style>
  <w:style w:type="paragraph" w:styleId="a4">
    <w:name w:val="Balloon Text"/>
    <w:basedOn w:val="a"/>
    <w:link w:val="Char"/>
    <w:uiPriority w:val="99"/>
    <w:unhideWhenUsed/>
    <w:rsid w:val="00FC6FE2"/>
    <w:rPr>
      <w:sz w:val="18"/>
      <w:szCs w:val="18"/>
    </w:rPr>
  </w:style>
  <w:style w:type="character" w:customStyle="1" w:styleId="Char">
    <w:name w:val="批注框文本 Char"/>
    <w:basedOn w:val="a0"/>
    <w:link w:val="a4"/>
    <w:uiPriority w:val="99"/>
    <w:semiHidden/>
    <w:rsid w:val="00FC6FE2"/>
    <w:rPr>
      <w:sz w:val="18"/>
      <w:szCs w:val="18"/>
    </w:rPr>
  </w:style>
  <w:style w:type="paragraph" w:customStyle="1" w:styleId="v-pstyle">
    <w:name w:val="v-pstyle"/>
    <w:basedOn w:val="a"/>
    <w:rsid w:val="00327376"/>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rsid w:val="0013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2935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9358C"/>
    <w:rPr>
      <w:sz w:val="18"/>
      <w:szCs w:val="18"/>
    </w:rPr>
  </w:style>
  <w:style w:type="paragraph" w:styleId="a7">
    <w:name w:val="footer"/>
    <w:basedOn w:val="a"/>
    <w:link w:val="Char1"/>
    <w:uiPriority w:val="99"/>
    <w:unhideWhenUsed/>
    <w:rsid w:val="0029358C"/>
    <w:pPr>
      <w:tabs>
        <w:tab w:val="center" w:pos="4153"/>
        <w:tab w:val="right" w:pos="8306"/>
      </w:tabs>
      <w:snapToGrid w:val="0"/>
      <w:jc w:val="left"/>
    </w:pPr>
    <w:rPr>
      <w:sz w:val="18"/>
      <w:szCs w:val="18"/>
    </w:rPr>
  </w:style>
  <w:style w:type="character" w:customStyle="1" w:styleId="Char1">
    <w:name w:val="页脚 Char"/>
    <w:basedOn w:val="a0"/>
    <w:link w:val="a7"/>
    <w:uiPriority w:val="99"/>
    <w:rsid w:val="0029358C"/>
    <w:rPr>
      <w:sz w:val="18"/>
      <w:szCs w:val="18"/>
    </w:rPr>
  </w:style>
  <w:style w:type="character" w:styleId="a8">
    <w:name w:val="Hyperlink"/>
    <w:basedOn w:val="a0"/>
    <w:uiPriority w:val="99"/>
    <w:unhideWhenUsed/>
    <w:rsid w:val="00961AEA"/>
    <w:rPr>
      <w:color w:val="0563C1" w:themeColor="hyperlink"/>
      <w:u w:val="single"/>
    </w:rPr>
  </w:style>
  <w:style w:type="paragraph" w:styleId="a9">
    <w:name w:val="Normal (Web)"/>
    <w:basedOn w:val="a"/>
    <w:uiPriority w:val="99"/>
    <w:semiHidden/>
    <w:unhideWhenUsed/>
    <w:rsid w:val="003514C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5CC"/>
    <w:pPr>
      <w:ind w:firstLineChars="200" w:firstLine="420"/>
    </w:pPr>
  </w:style>
  <w:style w:type="paragraph" w:styleId="a4">
    <w:name w:val="Balloon Text"/>
    <w:basedOn w:val="a"/>
    <w:link w:val="Char"/>
    <w:uiPriority w:val="99"/>
    <w:unhideWhenUsed/>
    <w:rsid w:val="00FC6FE2"/>
    <w:rPr>
      <w:sz w:val="18"/>
      <w:szCs w:val="18"/>
    </w:rPr>
  </w:style>
  <w:style w:type="character" w:customStyle="1" w:styleId="Char">
    <w:name w:val="批注框文本 Char"/>
    <w:basedOn w:val="a0"/>
    <w:link w:val="a4"/>
    <w:uiPriority w:val="99"/>
    <w:semiHidden/>
    <w:rsid w:val="00FC6FE2"/>
    <w:rPr>
      <w:sz w:val="18"/>
      <w:szCs w:val="18"/>
    </w:rPr>
  </w:style>
  <w:style w:type="paragraph" w:customStyle="1" w:styleId="v-pstyle">
    <w:name w:val="v-pstyle"/>
    <w:basedOn w:val="a"/>
    <w:rsid w:val="00327376"/>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rsid w:val="0013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2935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9358C"/>
    <w:rPr>
      <w:sz w:val="18"/>
      <w:szCs w:val="18"/>
    </w:rPr>
  </w:style>
  <w:style w:type="paragraph" w:styleId="a7">
    <w:name w:val="footer"/>
    <w:basedOn w:val="a"/>
    <w:link w:val="Char1"/>
    <w:uiPriority w:val="99"/>
    <w:unhideWhenUsed/>
    <w:rsid w:val="0029358C"/>
    <w:pPr>
      <w:tabs>
        <w:tab w:val="center" w:pos="4153"/>
        <w:tab w:val="right" w:pos="8306"/>
      </w:tabs>
      <w:snapToGrid w:val="0"/>
      <w:jc w:val="left"/>
    </w:pPr>
    <w:rPr>
      <w:sz w:val="18"/>
      <w:szCs w:val="18"/>
    </w:rPr>
  </w:style>
  <w:style w:type="character" w:customStyle="1" w:styleId="Char1">
    <w:name w:val="页脚 Char"/>
    <w:basedOn w:val="a0"/>
    <w:link w:val="a7"/>
    <w:uiPriority w:val="99"/>
    <w:rsid w:val="0029358C"/>
    <w:rPr>
      <w:sz w:val="18"/>
      <w:szCs w:val="18"/>
    </w:rPr>
  </w:style>
  <w:style w:type="character" w:styleId="a8">
    <w:name w:val="Hyperlink"/>
    <w:basedOn w:val="a0"/>
    <w:uiPriority w:val="99"/>
    <w:unhideWhenUsed/>
    <w:rsid w:val="00961AEA"/>
    <w:rPr>
      <w:color w:val="0563C1" w:themeColor="hyperlink"/>
      <w:u w:val="single"/>
    </w:rPr>
  </w:style>
  <w:style w:type="paragraph" w:styleId="a9">
    <w:name w:val="Normal (Web)"/>
    <w:basedOn w:val="a"/>
    <w:uiPriority w:val="99"/>
    <w:semiHidden/>
    <w:unhideWhenUsed/>
    <w:rsid w:val="003514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3994">
      <w:bodyDiv w:val="1"/>
      <w:marLeft w:val="0"/>
      <w:marRight w:val="0"/>
      <w:marTop w:val="0"/>
      <w:marBottom w:val="0"/>
      <w:divBdr>
        <w:top w:val="none" w:sz="0" w:space="0" w:color="auto"/>
        <w:left w:val="none" w:sz="0" w:space="0" w:color="auto"/>
        <w:bottom w:val="none" w:sz="0" w:space="0" w:color="auto"/>
        <w:right w:val="none" w:sz="0" w:space="0" w:color="auto"/>
      </w:divBdr>
    </w:div>
    <w:div w:id="269630735">
      <w:bodyDiv w:val="1"/>
      <w:marLeft w:val="0"/>
      <w:marRight w:val="0"/>
      <w:marTop w:val="0"/>
      <w:marBottom w:val="0"/>
      <w:divBdr>
        <w:top w:val="none" w:sz="0" w:space="0" w:color="auto"/>
        <w:left w:val="none" w:sz="0" w:space="0" w:color="auto"/>
        <w:bottom w:val="none" w:sz="0" w:space="0" w:color="auto"/>
        <w:right w:val="none" w:sz="0" w:space="0" w:color="auto"/>
      </w:divBdr>
    </w:div>
    <w:div w:id="278340149">
      <w:bodyDiv w:val="1"/>
      <w:marLeft w:val="0"/>
      <w:marRight w:val="0"/>
      <w:marTop w:val="0"/>
      <w:marBottom w:val="0"/>
      <w:divBdr>
        <w:top w:val="none" w:sz="0" w:space="0" w:color="auto"/>
        <w:left w:val="none" w:sz="0" w:space="0" w:color="auto"/>
        <w:bottom w:val="none" w:sz="0" w:space="0" w:color="auto"/>
        <w:right w:val="none" w:sz="0" w:space="0" w:color="auto"/>
      </w:divBdr>
    </w:div>
    <w:div w:id="418797625">
      <w:bodyDiv w:val="1"/>
      <w:marLeft w:val="0"/>
      <w:marRight w:val="0"/>
      <w:marTop w:val="0"/>
      <w:marBottom w:val="0"/>
      <w:divBdr>
        <w:top w:val="none" w:sz="0" w:space="0" w:color="auto"/>
        <w:left w:val="none" w:sz="0" w:space="0" w:color="auto"/>
        <w:bottom w:val="none" w:sz="0" w:space="0" w:color="auto"/>
        <w:right w:val="none" w:sz="0" w:space="0" w:color="auto"/>
      </w:divBdr>
    </w:div>
    <w:div w:id="1010064854">
      <w:bodyDiv w:val="1"/>
      <w:marLeft w:val="0"/>
      <w:marRight w:val="0"/>
      <w:marTop w:val="0"/>
      <w:marBottom w:val="0"/>
      <w:divBdr>
        <w:top w:val="none" w:sz="0" w:space="0" w:color="auto"/>
        <w:left w:val="none" w:sz="0" w:space="0" w:color="auto"/>
        <w:bottom w:val="none" w:sz="0" w:space="0" w:color="auto"/>
        <w:right w:val="none" w:sz="0" w:space="0" w:color="auto"/>
      </w:divBdr>
    </w:div>
    <w:div w:id="17653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8F5D-E0AC-4E40-916E-2D6394A1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杨毅</cp:lastModifiedBy>
  <cp:revision>2</cp:revision>
  <cp:lastPrinted>2015-09-07T08:34:00Z</cp:lastPrinted>
  <dcterms:created xsi:type="dcterms:W3CDTF">2015-09-15T00:50:00Z</dcterms:created>
  <dcterms:modified xsi:type="dcterms:W3CDTF">2015-09-15T00:50:00Z</dcterms:modified>
</cp:coreProperties>
</file>